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Ref124074120_1" w:id="100001"/>
      <w:bookmarkStart w:name="_Toc129769371_1" w:id="100002"/>
      <w:bookmarkStart w:name="_Toc133914801_1" w:id="100003"/>
      <w:bookmarkStart w:name="_Toc134495595_1" w:id="100004"/>
      <w:bookmarkStart w:name="_Toc147896346_1" w:id="100005"/>
      <w:r>
        <w:t>Field formatting</w:t>
      </w:r>
      <w:bookmarkEnd w:id="100001"/>
      <w:bookmarkEnd w:id="100002"/>
      <w:bookmarkEnd w:id="100003"/>
      <w:bookmarkEnd w:id="100004"/>
      <w:bookmarkEnd w:id="100005"/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result</w:t>
        </w:r>
      </w:hyperlink>
      <w:r>
        <w:t xml:space="preserve"> of a field has a </w:t>
      </w:r>
      <w:r>
        <w:t/>
      </w:r>
      <w:hyperlink r:id="rId9">
        <w:r>
          <w:rPr>
            <w:rStyle w:val="Hyperlink"/>
          </w:rPr>
          <w:t>format</w:t>
        </w:r>
      </w:hyperlink>
      <w:r>
        <w:t/>
      </w:r>
      <w:r>
        <w:t>,</w:t>
      </w:r>
      <w:r>
        <w:t xml:space="preserve"> either by default or because that field contains a </w:t>
      </w:r>
      <w:r>
        <w:t>formatting-switch</w:t>
      </w:r>
      <w:r>
        <w:t xml:space="preserve">. </w:t>
      </w:r>
      <w:r>
        <w:t xml:space="preserve"> There are three kinds of field formatting: date and time (§</w:t>
      </w:r>
      <w:fldSimple w:instr=" REF _Ref124052211 \r \h  \* MERGEFORMAT ">
        <w:r>
          <w:t>2.16.4.1</w:t>
        </w:r>
      </w:fldSimple>
      <w:r>
        <w:t>), numeric (§</w:t>
      </w:r>
      <w:fldSimple w:instr=" REF _Ref124076150 \r \h  \* MERGEFORMAT ">
        <w:r>
          <w:t>2.16.4.2</w:t>
        </w:r>
      </w:fldSimple>
      <w:r>
        <w:t>), and general (§</w:t>
      </w:r>
      <w:fldSimple w:instr=" REF _Ref124052234 \r \h  \* MERGEFORMAT ">
        <w:r>
          <w:t>2.16.4.3</w:t>
        </w:r>
      </w:fldSimple>
      <w:r>
        <w:t>).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Relationship Id="rId9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